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2303" w14:textId="1B21971E" w:rsidR="00A2068C" w:rsidRPr="00A2068C" w:rsidRDefault="00A2068C" w:rsidP="00A2068C">
      <w:pPr>
        <w:rPr>
          <w:b/>
          <w:bCs/>
        </w:rPr>
      </w:pPr>
      <w:r>
        <w:t xml:space="preserve">Webinar: </w:t>
      </w:r>
      <w:r w:rsidRPr="00AA6B98">
        <w:rPr>
          <w:b/>
          <w:bCs/>
        </w:rPr>
        <w:t>Optimizing Ovarian Cancer Treatment: Expert Perspectives on Evolving Standards</w:t>
      </w:r>
    </w:p>
    <w:p w14:paraId="58164981" w14:textId="77777777" w:rsidR="00A2068C" w:rsidRPr="004609EA" w:rsidRDefault="00A2068C" w:rsidP="00A2068C">
      <w:pPr>
        <w:rPr>
          <w:b/>
        </w:rPr>
      </w:pPr>
    </w:p>
    <w:p w14:paraId="6A0EC9A7" w14:textId="77777777" w:rsidR="00A2068C" w:rsidRDefault="00A2068C" w:rsidP="00A2068C">
      <w:r w:rsidRPr="004609EA">
        <w:rPr>
          <w:b/>
        </w:rPr>
        <w:t>Date:</w:t>
      </w:r>
      <w:r w:rsidRPr="004609EA">
        <w:t xml:space="preserve"> 24 September 2025</w:t>
      </w:r>
      <w:r w:rsidRPr="004609EA">
        <w:br/>
      </w:r>
      <w:r w:rsidRPr="004609EA">
        <w:rPr>
          <w:b/>
        </w:rPr>
        <w:t>Time:</w:t>
      </w:r>
      <w:r w:rsidRPr="004609EA">
        <w:t xml:space="preserve"> 18:00 – 20:00 </w:t>
      </w:r>
      <w:r w:rsidRPr="004609EA">
        <w:br/>
      </w:r>
      <w:r w:rsidRPr="004609EA">
        <w:rPr>
          <w:b/>
        </w:rPr>
        <w:t>Format:</w:t>
      </w:r>
      <w:r w:rsidRPr="004609EA">
        <w:t xml:space="preserve"> Virtual, interactive (Zoom Meeting)</w:t>
      </w:r>
    </w:p>
    <w:p w14:paraId="5B599E7C" w14:textId="5756109D" w:rsidR="00A2068C" w:rsidRDefault="00A2068C" w:rsidP="00A2068C">
      <w:r/>
      <w:r w:rsidR="00A2068C">
        <w:pict w14:anchorId="1BC839DE">
          <v:rect id="_x0000_i1025" alt="" style="width:446.8pt;height:.05pt;mso-width-percent:0;mso-height-percent:0;mso-width-percent:0;mso-height-percent:0" o:hrpct="990" o:hralign="center" o:hrstd="t" o:hr="t" fillcolor="#a0a0a0" stroked="f"/>
        </w:pict>
      </w:r>
    </w:p>
    <w:p w14:paraId="661EAC8E" w14:textId="77777777" w:rsidR="00A2068C" w:rsidRDefault="00A2068C" w:rsidP="00A2068C"/>
    <w:p w14:paraId="7E72C6C3" w14:textId="77777777" w:rsidR="00A2068C" w:rsidRPr="002718A1" w:rsidRDefault="00A2068C" w:rsidP="00A2068C">
      <w:pPr>
        <w:rPr>
          <w:b/>
        </w:rPr>
      </w:pPr>
      <w:r w:rsidRPr="002718A1">
        <w:rPr>
          <w:b/>
        </w:rPr>
        <w:t>Scientific Content Objectives</w:t>
      </w:r>
    </w:p>
    <w:p w14:paraId="14403056" w14:textId="77777777" w:rsidR="00A2068C" w:rsidRPr="002718A1" w:rsidRDefault="00A2068C" w:rsidP="00A2068C">
      <w:pPr>
        <w:numPr>
          <w:ilvl w:val="0"/>
          <w:numId w:val="1"/>
        </w:numPr>
      </w:pPr>
      <w:r w:rsidRPr="002718A1">
        <w:t>First-Line Treatment (1L)</w:t>
      </w:r>
    </w:p>
    <w:p w14:paraId="7D8B12B4" w14:textId="77777777" w:rsidR="00A2068C" w:rsidRPr="002718A1" w:rsidRDefault="00A2068C" w:rsidP="00A2068C">
      <w:pPr>
        <w:numPr>
          <w:ilvl w:val="1"/>
          <w:numId w:val="1"/>
        </w:numPr>
      </w:pPr>
      <w:r w:rsidRPr="002718A1">
        <w:t>Overview of current options and key distinctions for low-risk vs. high-risk patients.</w:t>
      </w:r>
    </w:p>
    <w:p w14:paraId="5B597DD2" w14:textId="77777777" w:rsidR="00A2068C" w:rsidRPr="002718A1" w:rsidRDefault="00A2068C" w:rsidP="00A2068C">
      <w:pPr>
        <w:numPr>
          <w:ilvl w:val="1"/>
          <w:numId w:val="1"/>
        </w:numPr>
      </w:pPr>
      <w:r w:rsidRPr="002718A1">
        <w:t>Importance of biomarker-driven decisions, combination strategies (IO, PARP, Bev).</w:t>
      </w:r>
    </w:p>
    <w:p w14:paraId="133CD9DA" w14:textId="77777777" w:rsidR="00A2068C" w:rsidRPr="002718A1" w:rsidRDefault="00A2068C" w:rsidP="00A2068C">
      <w:pPr>
        <w:numPr>
          <w:ilvl w:val="1"/>
          <w:numId w:val="1"/>
        </w:numPr>
      </w:pPr>
      <w:r w:rsidRPr="002718A1">
        <w:t>Discussion around Paola-1 and future impact of ASCO data on clinical practice.</w:t>
      </w:r>
    </w:p>
    <w:p w14:paraId="207E3DA4" w14:textId="77777777" w:rsidR="00A2068C" w:rsidRPr="002718A1" w:rsidRDefault="00A2068C" w:rsidP="00A2068C">
      <w:pPr>
        <w:numPr>
          <w:ilvl w:val="0"/>
          <w:numId w:val="1"/>
        </w:numPr>
      </w:pPr>
      <w:r w:rsidRPr="002718A1">
        <w:t>Second-Line / Recurrent Treatment (2L)</w:t>
      </w:r>
    </w:p>
    <w:p w14:paraId="260F6DF5" w14:textId="77777777" w:rsidR="00A2068C" w:rsidRPr="002718A1" w:rsidRDefault="00A2068C" w:rsidP="00A2068C">
      <w:pPr>
        <w:numPr>
          <w:ilvl w:val="1"/>
          <w:numId w:val="1"/>
        </w:numPr>
      </w:pPr>
      <w:r w:rsidRPr="002718A1">
        <w:t>Treatment decisions post-1L maintenance.</w:t>
      </w:r>
    </w:p>
    <w:p w14:paraId="38FA1E61" w14:textId="77777777" w:rsidR="00A2068C" w:rsidRPr="002718A1" w:rsidRDefault="00A2068C" w:rsidP="00A2068C">
      <w:pPr>
        <w:numPr>
          <w:ilvl w:val="1"/>
          <w:numId w:val="1"/>
        </w:numPr>
      </w:pPr>
      <w:r>
        <w:t>Focus on platinum-resistant disease, new agents like HER2 ADC, FRα ADC  (but not too deeply).</w:t>
      </w:r>
    </w:p>
    <w:p w14:paraId="6E6C48ED" w14:textId="77777777" w:rsidR="00A2068C" w:rsidRPr="002718A1" w:rsidRDefault="00A2068C" w:rsidP="00A2068C">
      <w:pPr>
        <w:numPr>
          <w:ilvl w:val="1"/>
          <w:numId w:val="1"/>
        </w:numPr>
      </w:pPr>
      <w:r>
        <w:t>Biomarker-driven approaches (HER2, BRCA, HRD, FRα), with consideration of Swiss vs. French prescribing practices.</w:t>
      </w:r>
    </w:p>
    <w:p w14:paraId="328DA153" w14:textId="77777777" w:rsidR="00A2068C" w:rsidRDefault="00A2068C" w:rsidP="00A2068C"/>
    <w:p w14:paraId="4B2D3FAD" w14:textId="21F0AAF6" w:rsidR="00A2068C" w:rsidRDefault="00A2068C" w:rsidP="00A2068C">
      <w:r/>
      <w:r w:rsidR="00A2068C">
        <w:pict w14:anchorId="28DB746A">
          <v:rect id="_x0000_i1026" alt="" style="width:446.8pt;height:.05pt;mso-width-percent:0;mso-height-percent:0;mso-width-percent:0;mso-height-percent:0" o:hrpct="990" o:hralign="center" o:hrstd="t" o:hr="t" fillcolor="#a0a0a0" stroked="f"/>
        </w:pict>
      </w:r>
    </w:p>
    <w:p w14:paraId="2714A2B5" w14:textId="77777777" w:rsidR="00A2068C" w:rsidRDefault="00A2068C" w:rsidP="00A2068C"/>
    <w:tbl>
      <w:tblPr>
        <w:tblW w:w="91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4883"/>
        <w:gridCol w:w="2682"/>
      </w:tblGrid>
      <w:tr w:rsidR="00A2068C" w:rsidRPr="00CC1C8A" w14:paraId="633B240C" w14:textId="77777777" w:rsidTr="00DC192E">
        <w:trPr>
          <w:trHeight w:val="374"/>
          <w:tblCellSpacing w:w="15" w:type="dxa"/>
        </w:trPr>
        <w:tc>
          <w:tcPr>
            <w:tcW w:w="1535" w:type="dxa"/>
            <w:vAlign w:val="center"/>
            <w:hideMark/>
          </w:tcPr>
          <w:p w14:paraId="1BEBC1E1" w14:textId="331C1F7F" w:rsidR="00A2068C" w:rsidRPr="004609EA" w:rsidRDefault="00A2068C" w:rsidP="00A2068C">
            <w:r>
              <w:rPr>
                <w:b/>
                <w:bCs/>
              </w:rPr>
              <w:t>Time</w:t>
            </w:r>
          </w:p>
        </w:tc>
        <w:tc>
          <w:tcPr>
            <w:tcW w:w="4853" w:type="dxa"/>
            <w:vAlign w:val="center"/>
            <w:hideMark/>
          </w:tcPr>
          <w:p w14:paraId="3E79A297" w14:textId="25EFD000" w:rsidR="00A2068C" w:rsidRPr="004609EA" w:rsidRDefault="00A2068C" w:rsidP="00A2068C">
            <w:r>
              <w:rPr>
                <w:b/>
                <w:bCs/>
              </w:rPr>
              <w:t>Agenda Item</w:t>
            </w:r>
          </w:p>
        </w:tc>
        <w:tc>
          <w:tcPr>
            <w:tcW w:w="2637" w:type="dxa"/>
            <w:vAlign w:val="center"/>
            <w:hideMark/>
          </w:tcPr>
          <w:p w14:paraId="5B5F4A21" w14:textId="77777777" w:rsidR="00A2068C" w:rsidRPr="00CC1C8A" w:rsidRDefault="00A2068C" w:rsidP="00A2068C">
            <w:pPr>
              <w:rPr>
                <w:lang w:val="es-ES"/>
              </w:rPr>
            </w:pPr>
            <w:r w:rsidRPr="00CC1C8A">
              <w:rPr>
                <w:lang w:val="es-ES"/>
              </w:rPr>
              <w:t xml:space="preserve">Dr. </w:t>
            </w:r>
            <w:r>
              <w:t xml:space="preserve">Apostolos </w:t>
            </w:r>
            <w:r w:rsidRPr="00CC1C8A">
              <w:rPr>
                <w:lang w:val="es-ES"/>
              </w:rPr>
              <w:t>Sarivalasis</w:t>
            </w:r>
          </w:p>
          <w:p w14:paraId="71ABB491" w14:textId="77777777" w:rsidR="00A2068C" w:rsidRPr="00CC1C8A" w:rsidRDefault="00A2068C" w:rsidP="00A2068C">
            <w:pPr>
              <w:rPr>
                <w:strike/>
                <w:lang w:val="es-ES"/>
              </w:rPr>
            </w:pPr>
          </w:p>
        </w:tc>
      </w:tr>
      <w:tr w:rsidR="00A2068C" w:rsidRPr="004609EA" w14:paraId="1AFF17DA" w14:textId="77777777" w:rsidTr="00DC192E">
        <w:trPr>
          <w:trHeight w:val="374"/>
          <w:tblCellSpacing w:w="15" w:type="dxa"/>
        </w:trPr>
        <w:tc>
          <w:tcPr>
            <w:tcW w:w="1535" w:type="dxa"/>
            <w:vAlign w:val="center"/>
            <w:hideMark/>
          </w:tcPr>
          <w:p w14:paraId="6EE2C67C" w14:textId="5A0E0FA0" w:rsidR="00A2068C" w:rsidRPr="004609EA" w:rsidRDefault="00A2068C" w:rsidP="00A2068C">
            <w:r>
              <w:t>18:00–18:05</w:t>
            </w:r>
          </w:p>
        </w:tc>
        <w:tc>
          <w:tcPr>
            <w:tcW w:w="4853" w:type="dxa"/>
            <w:vAlign w:val="center"/>
            <w:hideMark/>
          </w:tcPr>
          <w:p w14:paraId="0CE572FE" w14:textId="3793B14C" w:rsidR="00A2068C" w:rsidRPr="004609EA" w:rsidRDefault="00A2068C" w:rsidP="00A2068C">
            <w:r>
              <w:t>Welcome &amp; Opening Remarks</w:t>
            </w:r>
          </w:p>
        </w:tc>
        <w:tc>
          <w:tcPr>
            <w:tcW w:w="2637" w:type="dxa"/>
            <w:vAlign w:val="center"/>
            <w:hideMark/>
          </w:tcPr>
          <w:p w14:paraId="59793BFC" w14:textId="77777777" w:rsidR="00A2068C" w:rsidRPr="004609EA" w:rsidRDefault="00A2068C" w:rsidP="00A2068C">
            <w:r>
              <w:t>All</w:t>
            </w:r>
          </w:p>
        </w:tc>
      </w:tr>
      <w:tr w:rsidR="00A2068C" w:rsidRPr="004609EA" w14:paraId="4489F7FA" w14:textId="77777777" w:rsidTr="00DC192E">
        <w:trPr>
          <w:trHeight w:val="1143"/>
          <w:tblCellSpacing w:w="15" w:type="dxa"/>
        </w:trPr>
        <w:tc>
          <w:tcPr>
            <w:tcW w:w="1535" w:type="dxa"/>
            <w:vAlign w:val="center"/>
            <w:hideMark/>
          </w:tcPr>
          <w:p w14:paraId="4742CFDA" w14:textId="475272D0" w:rsidR="00A2068C" w:rsidRPr="004609EA" w:rsidRDefault="00A2068C" w:rsidP="00A2068C">
            <w:r>
              <w:t>18:05–18:25</w:t>
            </w:r>
          </w:p>
        </w:tc>
        <w:tc>
          <w:tcPr>
            <w:tcW w:w="4853" w:type="dxa"/>
            <w:vAlign w:val="center"/>
            <w:hideMark/>
          </w:tcPr>
          <w:p w14:paraId="692CA6E0" w14:textId="6D7BA292" w:rsidR="00A2068C" w:rsidRPr="004609EA" w:rsidRDefault="00A2068C" w:rsidP="00A2068C">
            <w:r>
              <w:rPr>
                <w:rStyle w:val="Strong"/>
              </w:rPr>
              <w:t>Presentation 1:</w:t>
            </w:r>
            <w:r>
              <w:t xml:space="preserve"> First-Line Ovarian Cancer – Treatment Evolution &amp; Future Options </w:t>
            </w:r>
            <w:r>
              <w:rPr>
                <w:rStyle w:val="Emphasis"/>
              </w:rPr>
              <w:t>(incl. IO combinations, stratification)</w:t>
            </w:r>
          </w:p>
        </w:tc>
        <w:tc>
          <w:tcPr>
            <w:tcW w:w="2637" w:type="dxa"/>
            <w:vAlign w:val="center"/>
            <w:hideMark/>
          </w:tcPr>
          <w:p w14:paraId="710AC08E" w14:textId="77777777" w:rsidR="00A2068C" w:rsidRPr="004609EA" w:rsidRDefault="00A2068C" w:rsidP="00A2068C">
            <w:r>
              <w:t>Prof. Isabelle Ray-Coquard</w:t>
            </w:r>
          </w:p>
        </w:tc>
      </w:tr>
      <w:tr w:rsidR="00A2068C" w:rsidRPr="00CC1C8A" w14:paraId="75D56DD3" w14:textId="77777777" w:rsidTr="00DC192E">
        <w:trPr>
          <w:trHeight w:val="768"/>
          <w:tblCellSpacing w:w="15" w:type="dxa"/>
        </w:trPr>
        <w:tc>
          <w:tcPr>
            <w:tcW w:w="1535" w:type="dxa"/>
            <w:vAlign w:val="center"/>
            <w:hideMark/>
          </w:tcPr>
          <w:p w14:paraId="7BFB1D57" w14:textId="77777777" w:rsidR="00A2068C" w:rsidRPr="004609EA" w:rsidRDefault="00A2068C" w:rsidP="00A2068C">
            <w:r>
              <w:t>19:15–19:30</w:t>
            </w:r>
          </w:p>
        </w:tc>
        <w:tc>
          <w:tcPr>
            <w:tcW w:w="4853" w:type="dxa"/>
            <w:vAlign w:val="center"/>
            <w:hideMark/>
          </w:tcPr>
          <w:p w14:paraId="6BA1858B" w14:textId="77777777" w:rsidR="00A2068C" w:rsidRPr="004609EA" w:rsidRDefault="00A2068C" w:rsidP="00A2068C">
            <w:r>
              <w:rPr>
                <w:rStyle w:val="Strong"/>
              </w:rPr>
              <w:t>Case Study:</w:t>
            </w:r>
            <w:r>
              <w:t xml:space="preserve"> BRCA+ Patient in Recurrent Setting</w:t>
            </w:r>
          </w:p>
        </w:tc>
        <w:tc>
          <w:tcPr>
            <w:tcW w:w="2637" w:type="dxa"/>
            <w:vAlign w:val="center"/>
            <w:hideMark/>
          </w:tcPr>
          <w:p w14:paraId="2E8D17C3" w14:textId="77777777" w:rsidR="00A2068C" w:rsidRPr="00CC1C8A" w:rsidRDefault="00A2068C" w:rsidP="00A2068C">
            <w:pPr>
              <w:rPr>
                <w:lang w:val="it-IT"/>
              </w:rPr>
            </w:pPr>
            <w:r>
              <w:rPr>
                <w:rStyle w:val="apple-converted-space"/>
                <w:rFonts w:ascii="Helvetica" w:hAnsi="Helvetica"/>
                <w:color w:val="000000"/>
                <w:sz w:val="21"/>
                <w:szCs w:val="21"/>
              </w:rPr>
              <w:t> </w:t>
            </w:r>
            <w:r w:rsidRPr="00206C91">
              <w:rPr>
                <w:rFonts w:ascii="Helvetica" w:hAnsi="Helvetica"/>
                <w:color w:val="000000"/>
                <w:sz w:val="21"/>
                <w:szCs w:val="21"/>
              </w:rPr>
              <w:t>Dre Anna Durigova</w:t>
            </w:r>
          </w:p>
        </w:tc>
      </w:tr>
      <w:tr w:rsidR="00A2068C" w:rsidRPr="004609EA" w14:paraId="1CB58A7E" w14:textId="77777777" w:rsidTr="00DC192E">
        <w:trPr>
          <w:trHeight w:val="374"/>
          <w:tblCellSpacing w:w="15" w:type="dxa"/>
        </w:trPr>
        <w:tc>
          <w:tcPr>
            <w:tcW w:w="1535" w:type="dxa"/>
            <w:vAlign w:val="center"/>
            <w:hideMark/>
          </w:tcPr>
          <w:p w14:paraId="17E33DA0" w14:textId="77777777" w:rsidR="00A2068C" w:rsidRPr="004609EA" w:rsidRDefault="00A2068C" w:rsidP="00A2068C">
            <w:r>
              <w:t>19:30–19:50</w:t>
            </w:r>
          </w:p>
        </w:tc>
        <w:tc>
          <w:tcPr>
            <w:tcW w:w="4853" w:type="dxa"/>
            <w:vAlign w:val="center"/>
            <w:hideMark/>
          </w:tcPr>
          <w:p w14:paraId="03BFF447" w14:textId="77777777" w:rsidR="00A2068C" w:rsidRPr="004609EA" w:rsidRDefault="00A2068C" w:rsidP="00A2068C">
            <w:r>
              <w:rPr>
                <w:rStyle w:val="Strong"/>
              </w:rPr>
              <w:t>Discussion &amp; Q&amp;A</w:t>
            </w:r>
            <w:r>
              <w:t xml:space="preserve"> (Roundtable, interactive)</w:t>
            </w:r>
          </w:p>
        </w:tc>
        <w:tc>
          <w:tcPr>
            <w:tcW w:w="2637" w:type="dxa"/>
            <w:vAlign w:val="center"/>
            <w:hideMark/>
          </w:tcPr>
          <w:p w14:paraId="760AF067" w14:textId="77777777" w:rsidR="00A2068C" w:rsidRPr="004609EA" w:rsidRDefault="00A2068C" w:rsidP="00A2068C">
            <w:r>
              <w:t>All</w:t>
            </w:r>
          </w:p>
        </w:tc>
      </w:tr>
      <w:tr w:rsidR="00A2068C" w:rsidRPr="004609EA" w14:paraId="0553AAA8" w14:textId="77777777" w:rsidTr="00DC192E">
        <w:trPr>
          <w:trHeight w:val="374"/>
          <w:tblCellSpacing w:w="15" w:type="dxa"/>
        </w:trPr>
        <w:tc>
          <w:tcPr>
            <w:tcW w:w="1535" w:type="dxa"/>
            <w:vAlign w:val="center"/>
            <w:hideMark/>
          </w:tcPr>
          <w:p w14:paraId="7B8ECCFA" w14:textId="77777777" w:rsidR="00A2068C" w:rsidRPr="004609EA" w:rsidRDefault="00A2068C" w:rsidP="00A2068C">
            <w:r>
              <w:t>19:50–20:00</w:t>
            </w:r>
          </w:p>
        </w:tc>
        <w:tc>
          <w:tcPr>
            <w:tcW w:w="4853" w:type="dxa"/>
            <w:vAlign w:val="center"/>
            <w:hideMark/>
          </w:tcPr>
          <w:p w14:paraId="305A7E6B" w14:textId="77777777" w:rsidR="00A2068C" w:rsidRPr="004609EA" w:rsidRDefault="00A2068C" w:rsidP="00A2068C">
            <w:r>
              <w:t>Closing Remarks &amp; Next Steps</w:t>
            </w:r>
          </w:p>
        </w:tc>
        <w:tc>
          <w:tcPr>
            <w:tcW w:w="2637" w:type="dxa"/>
            <w:vAlign w:val="center"/>
            <w:hideMark/>
          </w:tcPr>
          <w:p w14:paraId="1AB0A26B" w14:textId="77777777" w:rsidR="00A2068C" w:rsidRPr="004609EA" w:rsidRDefault="00A2068C" w:rsidP="00A2068C">
            <w:r>
              <w:t xml:space="preserve">Dr. Apostolos Sarivalasis </w:t>
            </w:r>
          </w:p>
        </w:tc>
      </w:tr>
    </w:tbl>
    <w:p w14:paraId="7113B3F5" w14:textId="77777777" w:rsidR="00A2068C" w:rsidRDefault="00A2068C" w:rsidP="00A2068C"/>
    <w:p w14:paraId="69CCF5DB" w14:textId="204E60B1" w:rsidR="00A26C27" w:rsidRDefault="00A2068C">
      <w:r/>
      <w:r w:rsidR="00A2068C">
        <w:pict w14:anchorId="79E02FF4">
          <v:rect id="_x0000_i1027" alt="" style="width:446.8pt;height:.05pt;mso-width-percent:0;mso-height-percent:0;mso-width-percent:0;mso-height-percent:0" o:hrpct="990" o:hralign="center" o:hrstd="t" o:hr="t" fillcolor="#a0a0a0" stroked="f"/>
        </w:pict>
      </w:r>
    </w:p>
    <w:p w14:paraId="6D36C463" w14:textId="77777777" w:rsidR="00A2068C" w:rsidRDefault="00A2068C" w:rsidP="00A2068C"/>
    <w:p w14:paraId="6919072B" w14:textId="77777777" w:rsidR="00A2068C" w:rsidRDefault="00A2068C" w:rsidP="00A2068C">
      <w:r w:rsidRPr="00913770">
        <w:rPr>
          <w:b/>
        </w:rPr>
        <w:t>Notes:</w:t>
      </w:r>
    </w:p>
    <w:p w14:paraId="0034EA8C" w14:textId="77777777" w:rsidR="00A2068C" w:rsidRDefault="00A2068C" w:rsidP="00A2068C">
      <w:pPr>
        <w:pStyle w:val="ListParagraph"/>
        <w:numPr>
          <w:ilvl w:val="0"/>
          <w:numId w:val="2"/>
        </w:numPr>
      </w:pPr>
      <w:r w:rsidRPr="002718A1">
        <w:t>Presentations are short and focused (15–20 mins) to maintain engagement.</w:t>
      </w:r>
    </w:p>
    <w:p w14:paraId="09169BE2" w14:textId="77777777" w:rsidR="00A2068C" w:rsidRDefault="00A2068C" w:rsidP="00A2068C">
      <w:pPr>
        <w:pStyle w:val="ListParagraph"/>
        <w:numPr>
          <w:ilvl w:val="0"/>
          <w:numId w:val="2"/>
        </w:numPr>
      </w:pPr>
      <w:r w:rsidRPr="002718A1">
        <w:t>Case studies are used to stimulate discussion and practical peer exchange.</w:t>
      </w:r>
    </w:p>
    <w:p w14:paraId="4366E839" w14:textId="77777777" w:rsidR="00A2068C" w:rsidRPr="002718A1" w:rsidRDefault="00A2068C" w:rsidP="00A2068C">
      <w:pPr>
        <w:pStyle w:val="ListParagraph"/>
        <w:numPr>
          <w:ilvl w:val="0"/>
          <w:numId w:val="2"/>
        </w:numPr>
      </w:pPr>
      <w:r w:rsidRPr="002718A1">
        <w:t>Attendees will be able to ask live questions or submit in advance.</w:t>
      </w:r>
    </w:p>
    <w:p w14:paraId="28D4225B" w14:textId="77777777" w:rsidR="00A2068C" w:rsidRDefault="00A2068C"/>
    <w:sectPr w:rsidR="00A20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7E1"/>
    <w:multiLevelType w:val="hybridMultilevel"/>
    <w:tmpl w:val="D94CDF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B8F"/>
    <w:multiLevelType w:val="multilevel"/>
    <w:tmpl w:val="E8F0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91944">
    <w:abstractNumId w:val="1"/>
  </w:num>
  <w:num w:numId="2" w16cid:durableId="144330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1417DE"/>
    <w:rsid w:val="006D0CB4"/>
    <w:rsid w:val="009367BE"/>
    <w:rsid w:val="009547E8"/>
    <w:rsid w:val="00A2068C"/>
    <w:rsid w:val="00A2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7BA0"/>
  <w15:chartTrackingRefBased/>
  <w15:docId w15:val="{3E6B175C-983F-A547-AAC2-A3EC73E2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68C"/>
    <w:rPr>
      <w:noProof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6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6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6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6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68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68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68C"/>
    <w:rPr>
      <w:rFonts w:eastAsiaTheme="majorEastAsia" w:cstheme="majorBidi"/>
      <w:noProof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68C"/>
    <w:rPr>
      <w:rFonts w:eastAsiaTheme="majorEastAsia" w:cstheme="majorBidi"/>
      <w:i/>
      <w:iCs/>
      <w:noProof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68C"/>
    <w:rPr>
      <w:rFonts w:eastAsiaTheme="majorEastAsia" w:cstheme="majorBidi"/>
      <w:noProof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68C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68C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68C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68C"/>
    <w:rPr>
      <w:rFonts w:eastAsiaTheme="majorEastAsia" w:cstheme="majorBidi"/>
      <w:noProof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206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68C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6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68C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206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68C"/>
    <w:rPr>
      <w:i/>
      <w:iCs/>
      <w:noProof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A20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6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68C"/>
    <w:rPr>
      <w:i/>
      <w:iCs/>
      <w:noProof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A2068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2068C"/>
    <w:rPr>
      <w:b/>
      <w:bCs/>
    </w:rPr>
  </w:style>
  <w:style w:type="character" w:styleId="Emphasis">
    <w:name w:val="Emphasis"/>
    <w:basedOn w:val="DefaultParagraphFont"/>
    <w:uiPriority w:val="20"/>
    <w:qFormat/>
    <w:rsid w:val="00A2068C"/>
    <w:rPr>
      <w:i/>
      <w:iCs/>
    </w:rPr>
  </w:style>
  <w:style w:type="character" w:customStyle="1" w:styleId="apple-converted-space">
    <w:name w:val="apple-converted-space"/>
    <w:basedOn w:val="DefaultParagraphFont"/>
    <w:rsid w:val="00A20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11165013A6A44BD1C41AF071CD17A" ma:contentTypeVersion="21" ma:contentTypeDescription="Create a new document." ma:contentTypeScope="" ma:versionID="20c761d895ee3b7801aebaf4bdbd34e8">
  <xsd:schema xmlns:xsd="http://www.w3.org/2001/XMLSchema" xmlns:xs="http://www.w3.org/2001/XMLSchema" xmlns:p="http://schemas.microsoft.com/office/2006/metadata/properties" xmlns:ns2="7a07e180-45ab-4037-b2d8-9f04902f01cf" xmlns:ns3="08751ce6-a5f0-47f9-8e63-8f0cbf8fc46e" targetNamespace="http://schemas.microsoft.com/office/2006/metadata/properties" ma:root="true" ma:fieldsID="51b065e3ac71618ccd5ae4f560b6c50b" ns2:_="" ns3:_="">
    <xsd:import namespace="7a07e180-45ab-4037-b2d8-9f04902f01cf"/>
    <xsd:import namespace="08751ce6-a5f0-47f9-8e63-8f0cbf8fc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7e180-45ab-4037-b2d8-9f04902f0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c008-f238-4dd3-99bd-032c5b21e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1ce6-a5f0-47f9-8e63-8f0cbf8fc4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94f274-a8d6-47fe-87ed-3706d5445c12}" ma:internalName="TaxCatchAll" ma:showField="CatchAllData" ma:web="08751ce6-a5f0-47f9-8e63-8f0cbf8fc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51ce6-a5f0-47f9-8e63-8f0cbf8fc46e" xsi:nil="true"/>
    <lcf76f155ced4ddcb4097134ff3c332f xmlns="7a07e180-45ab-4037-b2d8-9f04902f01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01D93-92A1-451E-9870-C22D60316E75}"/>
</file>

<file path=customXml/itemProps2.xml><?xml version="1.0" encoding="utf-8"?>
<ds:datastoreItem xmlns:ds="http://schemas.openxmlformats.org/officeDocument/2006/customXml" ds:itemID="{944E3483-D05B-4B60-8D0B-F16DCEA42B79}"/>
</file>

<file path=customXml/itemProps3.xml><?xml version="1.0" encoding="utf-8"?>
<ds:datastoreItem xmlns:ds="http://schemas.openxmlformats.org/officeDocument/2006/customXml" ds:itemID="{58288EE7-525F-4F3D-9666-A09EBD9554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Kunz</dc:creator>
  <cp:keywords/>
  <dc:description/>
  <cp:lastModifiedBy>Lorena Kunz</cp:lastModifiedBy>
  <cp:revision>1</cp:revision>
  <dcterms:created xsi:type="dcterms:W3CDTF">2025-07-09T11:36:00Z</dcterms:created>
  <dcterms:modified xsi:type="dcterms:W3CDTF">2025-07-09T11:39:00Z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0x01010041111165013A6A44BD1C41AF071CD17A</vt:lpwstr>
  </property>
</Properties>
</file>